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FB407">
      <w:pPr>
        <w:jc w:val="center"/>
        <w:rPr>
          <w:rFonts w:ascii="仿宋" w:hAnsi="仿宋" w:eastAsia="仿宋" w:cs="Times New Roman"/>
          <w:sz w:val="32"/>
          <w:szCs w:val="32"/>
          <w:u w:val="none"/>
        </w:rPr>
      </w:pPr>
      <w:bookmarkStart w:id="2" w:name="_GoBack"/>
      <w:bookmarkEnd w:id="2"/>
      <w:r>
        <w:rPr>
          <w:rFonts w:hint="eastAsia" w:ascii="宋体" w:hAnsi="宋体" w:cs="宋体"/>
          <w:b/>
          <w:bCs/>
          <w:sz w:val="44"/>
          <w:szCs w:val="44"/>
        </w:rPr>
        <w:t>三</w:t>
      </w:r>
      <w:r>
        <w:rPr>
          <w:rFonts w:hint="eastAsia" w:ascii="宋体" w:hAnsi="宋体" w:cs="宋体"/>
          <w:b/>
          <w:bCs/>
          <w:sz w:val="44"/>
          <w:szCs w:val="44"/>
          <w:u w:val="none"/>
        </w:rPr>
        <w:t>亚市202</w:t>
      </w:r>
      <w:r>
        <w:rPr>
          <w:rFonts w:hint="eastAsia" w:ascii="宋体" w:hAnsi="宋体" w:cs="宋体"/>
          <w:b/>
          <w:bCs/>
          <w:sz w:val="44"/>
          <w:szCs w:val="44"/>
          <w:u w:val="none"/>
          <w:lang w:val="en-US" w:eastAsia="zh-CN"/>
        </w:rPr>
        <w:t>4</w:t>
      </w:r>
      <w:r>
        <w:rPr>
          <w:rFonts w:hint="eastAsia" w:ascii="宋体" w:hAnsi="宋体" w:cs="宋体"/>
          <w:b/>
          <w:bCs/>
          <w:sz w:val="44"/>
          <w:szCs w:val="44"/>
          <w:u w:val="none"/>
        </w:rPr>
        <w:t>年</w:t>
      </w:r>
      <w:r>
        <w:rPr>
          <w:rFonts w:hint="eastAsia" w:ascii="宋体" w:hAnsi="宋体" w:cs="宋体"/>
          <w:b/>
          <w:bCs/>
          <w:sz w:val="44"/>
          <w:szCs w:val="44"/>
          <w:u w:val="none"/>
          <w:lang w:val="en-US" w:eastAsia="zh-CN"/>
        </w:rPr>
        <w:t>妇儿专科联盟建设</w:t>
      </w:r>
      <w:r>
        <w:rPr>
          <w:rFonts w:hint="eastAsia" w:ascii="宋体" w:hAnsi="宋体" w:cs="宋体"/>
          <w:b/>
          <w:bCs/>
          <w:sz w:val="44"/>
          <w:szCs w:val="44"/>
          <w:u w:val="none"/>
        </w:rPr>
        <w:t>项目</w:t>
      </w:r>
      <w:r>
        <w:rPr>
          <w:rFonts w:hint="eastAsia" w:ascii="宋体" w:hAnsi="宋体" w:cs="宋体"/>
          <w:b/>
          <w:bCs/>
          <w:sz w:val="44"/>
          <w:szCs w:val="44"/>
          <w:u w:val="none"/>
          <w:lang w:val="en-US" w:eastAsia="zh-CN"/>
        </w:rPr>
        <w:t>绩效</w:t>
      </w:r>
      <w:r>
        <w:rPr>
          <w:rFonts w:hint="eastAsia" w:ascii="宋体" w:hAnsi="宋体" w:cs="宋体"/>
          <w:b/>
          <w:bCs/>
          <w:sz w:val="44"/>
          <w:szCs w:val="44"/>
          <w:u w:val="none"/>
        </w:rPr>
        <w:t>自评报告</w:t>
      </w:r>
    </w:p>
    <w:p w14:paraId="60EE879A">
      <w:pPr>
        <w:spacing w:line="560" w:lineRule="exact"/>
        <w:ind w:firstLine="640" w:firstLineChars="200"/>
        <w:outlineLvl w:val="0"/>
        <w:rPr>
          <w:rFonts w:ascii="仿宋" w:hAnsi="仿宋" w:eastAsia="仿宋" w:cs="Times New Roman"/>
          <w:sz w:val="32"/>
          <w:szCs w:val="32"/>
          <w:u w:val="none"/>
        </w:rPr>
      </w:pPr>
      <w:r>
        <w:rPr>
          <w:rFonts w:hint="eastAsia" w:ascii="仿宋_GB2312" w:hAnsi="仿宋_GB2312" w:eastAsia="仿宋_GB2312" w:cs="仿宋_GB2312"/>
          <w:color w:val="000000"/>
          <w:sz w:val="32"/>
          <w:szCs w:val="32"/>
          <w:u w:val="none"/>
        </w:rPr>
        <w:t>一、项目概况</w:t>
      </w:r>
    </w:p>
    <w:p w14:paraId="15CD9644">
      <w:pPr>
        <w:spacing w:line="560" w:lineRule="exact"/>
        <w:ind w:firstLine="640" w:firstLineChars="200"/>
        <w:rPr>
          <w:rFonts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1.项目的实施依据：</w:t>
      </w:r>
    </w:p>
    <w:p w14:paraId="659A84CF">
      <w:pPr>
        <w:spacing w:line="560" w:lineRule="exact"/>
        <w:ind w:firstLine="630"/>
        <w:jc w:val="left"/>
        <w:textAlignment w:val="center"/>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为解决医疗卫生资源配置不均衡，促进健康资源的公平 可及，国家层面出台多项政策推动专科联盟建设。随着我国 生育政策的调整及三亚市人口的激增，为保障三亚地区妇女 儿童的健康，更好地满足三亚市以及琼南地区人民群众日益 增长的妇幼保健新需求，打造妇幼健康服务高地，提升妇幼 健康领域重大疾病救治能力，着重解决妇幼领域关键和核心 问题，特组建三亚市跨区域妇幼健康专科联盟。</w:t>
      </w:r>
    </w:p>
    <w:p w14:paraId="726426B0">
      <w:pPr>
        <w:spacing w:line="560" w:lineRule="exact"/>
        <w:ind w:firstLine="630"/>
        <w:jc w:val="left"/>
        <w:textAlignment w:val="center"/>
        <w:rPr>
          <w:rFonts w:ascii="仿宋_GB2312" w:hAnsi="仿宋_GB2312" w:eastAsia="仿宋_GB2312" w:cs="仿宋_GB2312"/>
          <w:color w:val="FF0000"/>
          <w:sz w:val="32"/>
          <w:szCs w:val="32"/>
          <w:u w:val="none"/>
        </w:rPr>
      </w:pPr>
      <w:r>
        <w:rPr>
          <w:rFonts w:hint="eastAsia" w:ascii="仿宋_GB2312" w:hAnsi="仿宋_GB2312" w:eastAsia="仿宋_GB2312" w:cs="仿宋_GB2312"/>
          <w:color w:val="000000"/>
          <w:sz w:val="32"/>
          <w:szCs w:val="32"/>
          <w:u w:val="none"/>
        </w:rPr>
        <w:t>2.项目预算依据：</w:t>
      </w:r>
      <w:r>
        <w:rPr>
          <w:rFonts w:hint="eastAsia" w:ascii="仿宋_GB2312" w:hAnsi="仿宋_GB2312" w:eastAsia="仿宋_GB2312" w:cs="仿宋_GB2312"/>
          <w:sz w:val="32"/>
          <w:szCs w:val="32"/>
          <w:u w:val="none"/>
        </w:rPr>
        <w:t>结合我市工作实际，按我市</w:t>
      </w:r>
      <w:r>
        <w:rPr>
          <w:rFonts w:hint="eastAsia" w:ascii="仿宋_GB2312" w:hAnsi="仿宋_GB2312" w:eastAsia="仿宋_GB2312" w:cs="仿宋_GB2312"/>
          <w:sz w:val="32"/>
          <w:szCs w:val="32"/>
          <w:u w:val="none"/>
          <w:lang w:val="en-US" w:eastAsia="zh-CN"/>
        </w:rPr>
        <w:t>妇女儿童的医疗保健工作情况、联盟单位工作人员管理能力与基层单位公共卫生服务质量以及</w:t>
      </w:r>
      <w:r>
        <w:rPr>
          <w:rFonts w:hint="eastAsia" w:ascii="仿宋_GB2312" w:hAnsi="仿宋_GB2312" w:eastAsia="仿宋_GB2312" w:cs="仿宋_GB2312"/>
          <w:sz w:val="32"/>
          <w:szCs w:val="32"/>
          <w:u w:val="none"/>
        </w:rPr>
        <w:t>常住的妇女、儿童人数、全市各级各类活产数及</w:t>
      </w:r>
      <w:r>
        <w:rPr>
          <w:rFonts w:hint="eastAsia" w:ascii="仿宋_GB2312" w:hAnsi="仿宋_GB2312" w:eastAsia="仿宋_GB2312" w:cs="仿宋_GB2312"/>
          <w:sz w:val="32"/>
          <w:szCs w:val="32"/>
          <w:u w:val="none"/>
          <w:lang w:val="en-US" w:eastAsia="zh-CN"/>
        </w:rPr>
        <w:t>公卫</w:t>
      </w:r>
      <w:r>
        <w:rPr>
          <w:rFonts w:hint="eastAsia" w:ascii="仿宋_GB2312" w:hAnsi="仿宋_GB2312" w:eastAsia="仿宋_GB2312" w:cs="仿宋_GB2312"/>
          <w:sz w:val="32"/>
          <w:szCs w:val="32"/>
          <w:u w:val="none"/>
        </w:rPr>
        <w:t>项目的</w:t>
      </w:r>
      <w:r>
        <w:rPr>
          <w:rFonts w:hint="eastAsia" w:ascii="仿宋_GB2312" w:hAnsi="仿宋_GB2312" w:eastAsia="仿宋_GB2312" w:cs="仿宋_GB2312"/>
          <w:sz w:val="32"/>
          <w:szCs w:val="32"/>
          <w:u w:val="none"/>
          <w:lang w:val="en-US" w:eastAsia="zh-CN"/>
        </w:rPr>
        <w:t>进展情况</w:t>
      </w:r>
      <w:r>
        <w:rPr>
          <w:rFonts w:hint="eastAsia" w:ascii="仿宋_GB2312" w:hAnsi="仿宋_GB2312" w:eastAsia="仿宋_GB2312" w:cs="仿宋_GB2312"/>
          <w:sz w:val="32"/>
          <w:szCs w:val="32"/>
          <w:u w:val="none"/>
        </w:rPr>
        <w:t>进行预算（详见项目方案费用明细表）。</w:t>
      </w:r>
    </w:p>
    <w:p w14:paraId="3BF22E05">
      <w:pPr>
        <w:spacing w:line="560" w:lineRule="exact"/>
        <w:ind w:firstLine="640" w:firstLineChars="200"/>
        <w:outlineLvl w:val="0"/>
        <w:rPr>
          <w:rFonts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rPr>
        <w:t>二、项目</w:t>
      </w:r>
      <w:r>
        <w:rPr>
          <w:rFonts w:hint="eastAsia" w:ascii="仿宋_GB2312" w:hAnsi="仿宋_GB2312" w:eastAsia="仿宋_GB2312" w:cs="仿宋_GB2312"/>
          <w:color w:val="000000"/>
          <w:sz w:val="32"/>
          <w:szCs w:val="32"/>
          <w:u w:val="none"/>
          <w:lang w:val="en-US" w:eastAsia="zh-CN"/>
        </w:rPr>
        <w:t>执行</w:t>
      </w:r>
      <w:r>
        <w:rPr>
          <w:rFonts w:hint="eastAsia" w:ascii="仿宋_GB2312" w:hAnsi="仿宋_GB2312" w:eastAsia="仿宋_GB2312" w:cs="仿宋_GB2312"/>
          <w:color w:val="000000"/>
          <w:sz w:val="32"/>
          <w:szCs w:val="32"/>
          <w:u w:val="none"/>
        </w:rPr>
        <w:t>情况</w:t>
      </w:r>
    </w:p>
    <w:p w14:paraId="0D9013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b w:val="0"/>
          <w:bCs w:val="0"/>
          <w:kern w:val="2"/>
          <w:sz w:val="32"/>
          <w:szCs w:val="32"/>
          <w:highlight w:val="none"/>
          <w:u w:val="none"/>
          <w:lang w:val="en-US" w:eastAsia="zh" w:bidi="ar-SA"/>
        </w:rPr>
      </w:pPr>
      <w:r>
        <w:rPr>
          <w:rFonts w:hint="eastAsia" w:ascii="仿宋_GB2312" w:hAnsi="仿宋_GB2312" w:eastAsia="仿宋_GB2312" w:cs="仿宋_GB2312"/>
          <w:bCs/>
          <w:color w:val="000000"/>
          <w:sz w:val="32"/>
          <w:szCs w:val="32"/>
          <w:u w:val="none"/>
          <w:lang w:val="en-US" w:eastAsia="zh-CN"/>
        </w:rPr>
        <w:t>截止至12月31日：一</w:t>
      </w:r>
      <w:r>
        <w:rPr>
          <w:rFonts w:hint="eastAsia" w:ascii="仿宋" w:hAnsi="仿宋" w:eastAsia="仿宋" w:cs="仿宋"/>
          <w:b w:val="0"/>
          <w:bCs w:val="0"/>
          <w:kern w:val="2"/>
          <w:sz w:val="32"/>
          <w:szCs w:val="32"/>
          <w:highlight w:val="none"/>
          <w:u w:val="none"/>
          <w:lang w:val="en-US" w:eastAsia="zh-CN" w:bidi="ar-SA"/>
        </w:rPr>
        <w:t>是对4</w:t>
      </w:r>
      <w:r>
        <w:rPr>
          <w:rFonts w:hint="eastAsia" w:ascii="仿宋" w:hAnsi="仿宋" w:eastAsia="仿宋" w:cs="仿宋"/>
          <w:b w:val="0"/>
          <w:bCs w:val="0"/>
          <w:kern w:val="2"/>
          <w:sz w:val="32"/>
          <w:szCs w:val="32"/>
          <w:highlight w:val="none"/>
          <w:u w:val="none"/>
          <w:lang w:val="en-US" w:eastAsia="zh" w:bidi="ar-SA"/>
        </w:rPr>
        <w:t>6770</w:t>
      </w:r>
      <w:r>
        <w:rPr>
          <w:rFonts w:hint="eastAsia" w:ascii="仿宋" w:hAnsi="仿宋" w:eastAsia="仿宋" w:cs="仿宋"/>
          <w:b w:val="0"/>
          <w:bCs w:val="0"/>
          <w:kern w:val="2"/>
          <w:sz w:val="32"/>
          <w:szCs w:val="32"/>
          <w:highlight w:val="none"/>
          <w:u w:val="none"/>
          <w:lang w:val="en-US" w:eastAsia="zh-CN" w:bidi="ar-SA"/>
        </w:rPr>
        <w:t>名5岁以下儿童进行死亡监测，其中5岁以下儿童</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3.24</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eastAsia" w:ascii="仿宋" w:hAnsi="仿宋" w:eastAsia="仿宋" w:cs="仿宋"/>
          <w:b w:val="0"/>
          <w:bCs w:val="0"/>
          <w:kern w:val="2"/>
          <w:sz w:val="32"/>
          <w:szCs w:val="32"/>
          <w:highlight w:val="none"/>
          <w:u w:val="none"/>
          <w:lang w:val="en-US" w:eastAsia="zh-CN" w:bidi="ar-SA"/>
        </w:rPr>
        <w:t>婴儿</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2.19</w:t>
      </w:r>
      <w:r>
        <w:rPr>
          <w:rFonts w:hint="eastAsia" w:ascii="仿宋" w:hAnsi="仿宋" w:eastAsia="仿宋" w:cs="仿宋"/>
          <w:b w:val="0"/>
          <w:bCs w:val="0"/>
          <w:kern w:val="2"/>
          <w:sz w:val="32"/>
          <w:szCs w:val="32"/>
          <w:highlight w:val="none"/>
          <w:u w:val="none"/>
          <w:lang w:val="en-US" w:eastAsia="zh-CN" w:bidi="ar-SA"/>
        </w:rPr>
        <w:t>‰</w:t>
      </w:r>
      <w:r>
        <w:rPr>
          <w:rFonts w:hint="eastAsia" w:ascii="仿宋" w:hAnsi="仿宋" w:eastAsia="仿宋" w:cs="仿宋"/>
          <w:b w:val="0"/>
          <w:bCs w:val="0"/>
          <w:kern w:val="2"/>
          <w:sz w:val="32"/>
          <w:szCs w:val="32"/>
          <w:highlight w:val="none"/>
          <w:u w:val="none"/>
          <w:lang w:val="en-US" w:eastAsia="zh" w:bidi="ar-SA"/>
        </w:rPr>
        <w:t>；</w:t>
      </w:r>
      <w:r>
        <w:rPr>
          <w:rFonts w:hint="eastAsia" w:ascii="仿宋" w:hAnsi="仿宋" w:eastAsia="仿宋" w:cs="仿宋"/>
          <w:b w:val="0"/>
          <w:bCs w:val="0"/>
          <w:kern w:val="2"/>
          <w:sz w:val="32"/>
          <w:szCs w:val="32"/>
          <w:highlight w:val="none"/>
          <w:u w:val="none"/>
          <w:lang w:val="en-US" w:eastAsia="zh-CN" w:bidi="ar-SA"/>
        </w:rPr>
        <w:t>新生儿</w:t>
      </w:r>
      <w:r>
        <w:rPr>
          <w:rFonts w:hint="eastAsia" w:ascii="仿宋" w:hAnsi="仿宋" w:eastAsia="仿宋" w:cs="仿宋"/>
          <w:b w:val="0"/>
          <w:bCs w:val="0"/>
          <w:kern w:val="2"/>
          <w:sz w:val="32"/>
          <w:szCs w:val="32"/>
          <w:highlight w:val="none"/>
          <w:u w:val="none"/>
          <w:lang w:val="en-US" w:eastAsia="zh" w:bidi="ar-SA"/>
        </w:rPr>
        <w:t>死亡</w:t>
      </w:r>
      <w:r>
        <w:rPr>
          <w:rFonts w:hint="eastAsia" w:ascii="仿宋" w:hAnsi="仿宋" w:eastAsia="仿宋" w:cs="仿宋"/>
          <w:b w:val="0"/>
          <w:bCs w:val="0"/>
          <w:kern w:val="2"/>
          <w:sz w:val="32"/>
          <w:szCs w:val="32"/>
          <w:highlight w:val="none"/>
          <w:u w:val="none"/>
          <w:lang w:val="en-US" w:eastAsia="zh-CN" w:bidi="ar-SA"/>
        </w:rPr>
        <w:t>率为</w:t>
      </w:r>
      <w:r>
        <w:rPr>
          <w:rFonts w:hint="eastAsia" w:ascii="仿宋" w:hAnsi="仿宋" w:eastAsia="仿宋" w:cs="仿宋"/>
          <w:b w:val="0"/>
          <w:bCs w:val="0"/>
          <w:kern w:val="2"/>
          <w:sz w:val="32"/>
          <w:szCs w:val="32"/>
          <w:highlight w:val="none"/>
          <w:u w:val="none"/>
          <w:lang w:val="en-US" w:eastAsia="zh" w:bidi="ar-SA"/>
        </w:rPr>
        <w:t>1.05</w:t>
      </w:r>
      <w:r>
        <w:rPr>
          <w:rFonts w:hint="eastAsia" w:ascii="仿宋" w:hAnsi="仿宋" w:eastAsia="仿宋" w:cs="仿宋"/>
          <w:b w:val="0"/>
          <w:bCs w:val="0"/>
          <w:kern w:val="2"/>
          <w:sz w:val="32"/>
          <w:szCs w:val="32"/>
          <w:highlight w:val="none"/>
          <w:u w:val="none"/>
          <w:lang w:val="en-US" w:eastAsia="zh-CN" w:bidi="ar-SA"/>
        </w:rPr>
        <w:t>‰。二是孕产妇死亡</w:t>
      </w:r>
      <w:r>
        <w:rPr>
          <w:rFonts w:hint="eastAsia" w:ascii="仿宋" w:hAnsi="仿宋" w:eastAsia="仿宋" w:cs="仿宋"/>
          <w:b w:val="0"/>
          <w:bCs w:val="0"/>
          <w:kern w:val="2"/>
          <w:sz w:val="32"/>
          <w:szCs w:val="32"/>
          <w:highlight w:val="none"/>
          <w:u w:val="none"/>
          <w:lang w:val="en-US" w:eastAsia="zh" w:bidi="ar-SA"/>
        </w:rPr>
        <w:t>1</w:t>
      </w:r>
      <w:r>
        <w:rPr>
          <w:rFonts w:hint="eastAsia" w:ascii="仿宋" w:hAnsi="仿宋" w:eastAsia="仿宋" w:cs="仿宋"/>
          <w:b w:val="0"/>
          <w:bCs w:val="0"/>
          <w:kern w:val="2"/>
          <w:sz w:val="32"/>
          <w:szCs w:val="32"/>
          <w:highlight w:val="none"/>
          <w:u w:val="none"/>
          <w:lang w:val="en-US" w:eastAsia="zh-CN" w:bidi="ar-SA"/>
        </w:rPr>
        <w:t>例，孕产妇死亡率为</w:t>
      </w:r>
      <w:r>
        <w:rPr>
          <w:rFonts w:hint="eastAsia" w:ascii="仿宋" w:hAnsi="仿宋" w:eastAsia="仿宋" w:cs="仿宋"/>
          <w:b w:val="0"/>
          <w:bCs w:val="0"/>
          <w:kern w:val="2"/>
          <w:sz w:val="32"/>
          <w:szCs w:val="32"/>
          <w:highlight w:val="none"/>
          <w:u w:val="none"/>
          <w:lang w:val="en-US" w:eastAsia="zh" w:bidi="ar-SA"/>
        </w:rPr>
        <w:t>9.</w:t>
      </w:r>
      <w:r>
        <w:rPr>
          <w:rFonts w:hint="eastAsia" w:ascii="仿宋" w:hAnsi="仿宋" w:eastAsia="仿宋" w:cs="仿宋"/>
          <w:b w:val="0"/>
          <w:bCs w:val="0"/>
          <w:kern w:val="2"/>
          <w:sz w:val="32"/>
          <w:szCs w:val="32"/>
          <w:highlight w:val="none"/>
          <w:u w:val="none"/>
          <w:lang w:val="en-US" w:eastAsia="zh-CN" w:bidi="ar-SA"/>
        </w:rPr>
        <w:t>55</w:t>
      </w:r>
      <w:r>
        <w:rPr>
          <w:rFonts w:hint="eastAsia" w:ascii="仿宋" w:hAnsi="仿宋" w:eastAsia="仿宋" w:cs="仿宋"/>
          <w:b w:val="0"/>
          <w:bCs w:val="0"/>
          <w:kern w:val="2"/>
          <w:sz w:val="32"/>
          <w:szCs w:val="32"/>
          <w:highlight w:val="none"/>
          <w:u w:val="none"/>
          <w:lang w:val="en-US" w:eastAsia="zh" w:bidi="ar-SA"/>
        </w:rPr>
        <w:t>/10万</w:t>
      </w:r>
      <w:r>
        <w:rPr>
          <w:rFonts w:hint="eastAsia" w:ascii="仿宋" w:hAnsi="仿宋" w:eastAsia="仿宋" w:cs="仿宋"/>
          <w:b w:val="0"/>
          <w:bCs w:val="0"/>
          <w:kern w:val="2"/>
          <w:sz w:val="32"/>
          <w:szCs w:val="32"/>
          <w:highlight w:val="none"/>
          <w:u w:val="none"/>
          <w:lang w:val="en-US" w:eastAsia="zh-CN" w:bidi="ar-SA"/>
        </w:rPr>
        <w:t>。</w:t>
      </w:r>
    </w:p>
    <w:p w14:paraId="44D4087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u w:val="none"/>
          <w:lang w:val="en-US" w:eastAsia="zh-CN"/>
        </w:rPr>
      </w:pPr>
      <w:r>
        <w:rPr>
          <w:rFonts w:hint="eastAsia" w:ascii="仿宋_GB2312" w:hAnsi="仿宋_GB2312" w:eastAsia="仿宋_GB2312" w:cs="仿宋_GB2312"/>
          <w:bCs/>
          <w:color w:val="000000"/>
          <w:sz w:val="32"/>
          <w:szCs w:val="32"/>
          <w:u w:val="none"/>
          <w:lang w:val="en-US" w:eastAsia="zh-CN"/>
        </w:rPr>
        <w:t>积极举办妇儿适宜技术培训班，覆盖各级医疗卫生单位有关人员，主要针对妇幼公卫项目的实施内容、不同生命周期妇女和儿童的健康管理、妇儿健康服务技术规范、特别是对危重孕产妇、新生儿窒息和儿童危急重症治疗等方面开展了培训工作。</w:t>
      </w:r>
    </w:p>
    <w:p w14:paraId="563489CA">
      <w:pPr>
        <w:spacing w:line="560" w:lineRule="exact"/>
        <w:ind w:firstLine="640" w:firstLineChars="200"/>
        <w:outlineLvl w:val="0"/>
        <w:rPr>
          <w:rFonts w:ascii="仿宋_GB2312" w:hAnsi="仿宋_GB2312" w:eastAsia="仿宋_GB2312" w:cs="仿宋_GB2312"/>
          <w:color w:val="000000"/>
          <w:sz w:val="32"/>
          <w:szCs w:val="32"/>
          <w:u w:val="none"/>
        </w:rPr>
      </w:pPr>
      <w:r>
        <w:rPr>
          <w:rFonts w:hint="eastAsia" w:ascii="仿宋_GB2312" w:hAnsi="仿宋_GB2312" w:eastAsia="仿宋_GB2312" w:cs="仿宋_GB2312"/>
          <w:color w:val="000000"/>
          <w:sz w:val="32"/>
          <w:szCs w:val="32"/>
          <w:u w:val="none"/>
          <w:lang w:val="en-US" w:eastAsia="zh-CN"/>
        </w:rPr>
        <w:t>三</w:t>
      </w:r>
      <w:r>
        <w:rPr>
          <w:rFonts w:hint="eastAsia" w:ascii="仿宋_GB2312" w:hAnsi="仿宋_GB2312" w:eastAsia="仿宋_GB2312" w:cs="仿宋_GB2312"/>
          <w:color w:val="000000"/>
          <w:sz w:val="32"/>
          <w:szCs w:val="32"/>
          <w:u w:val="none"/>
        </w:rPr>
        <w:t>、项目效益情况</w:t>
      </w:r>
    </w:p>
    <w:p w14:paraId="78E508EF">
      <w:pPr>
        <w:spacing w:line="560" w:lineRule="exact"/>
        <w:ind w:firstLine="640" w:firstLineChars="200"/>
        <w:rPr>
          <w:rFonts w:hint="default" w:ascii="华文仿宋" w:hAnsi="华文仿宋" w:eastAsia="华文仿宋" w:cs="华文仿宋"/>
          <w:sz w:val="32"/>
          <w:szCs w:val="32"/>
          <w:highlight w:val="none"/>
          <w:u w:val="none"/>
          <w:lang w:val="en-US"/>
        </w:rPr>
      </w:pPr>
      <w:r>
        <w:rPr>
          <w:rFonts w:hint="eastAsia" w:ascii="华文仿宋" w:hAnsi="华文仿宋" w:eastAsia="华文仿宋" w:cs="华文仿宋"/>
          <w:sz w:val="32"/>
          <w:szCs w:val="32"/>
          <w:highlight w:val="none"/>
          <w:u w:val="none"/>
          <w:lang w:val="en-US" w:eastAsia="zh-CN"/>
        </w:rPr>
        <w:t>一是</w:t>
      </w:r>
      <w:bookmarkStart w:id="0" w:name="OLE_LINK1"/>
      <w:r>
        <w:rPr>
          <w:rFonts w:hint="eastAsia" w:ascii="华文仿宋" w:hAnsi="华文仿宋" w:eastAsia="华文仿宋" w:cs="华文仿宋"/>
          <w:sz w:val="32"/>
          <w:szCs w:val="32"/>
          <w:highlight w:val="none"/>
          <w:u w:val="none"/>
          <w:lang w:val="en-US" w:eastAsia="zh-CN"/>
        </w:rPr>
        <w:t>妇儿专科联盟建设</w:t>
      </w:r>
      <w:r>
        <w:rPr>
          <w:rFonts w:hint="eastAsia" w:ascii="华文仿宋" w:hAnsi="华文仿宋" w:eastAsia="华文仿宋" w:cs="华文仿宋"/>
          <w:sz w:val="32"/>
          <w:szCs w:val="32"/>
          <w:highlight w:val="none"/>
          <w:u w:val="none"/>
        </w:rPr>
        <w:t>项目</w:t>
      </w:r>
      <w:bookmarkEnd w:id="0"/>
      <w:r>
        <w:rPr>
          <w:rFonts w:hint="eastAsia" w:ascii="华文仿宋" w:hAnsi="华文仿宋" w:eastAsia="华文仿宋" w:cs="华文仿宋"/>
          <w:sz w:val="32"/>
          <w:szCs w:val="32"/>
          <w:highlight w:val="none"/>
          <w:u w:val="none"/>
        </w:rPr>
        <w:t>是一项惠民利民的项目，它让更多群众能够对疾病早发现、早诊断、早治疗，切实保障妇女儿童健康与生命安全，提高妇女儿童生活质量。</w:t>
      </w:r>
      <w:r>
        <w:rPr>
          <w:rFonts w:hint="eastAsia" w:ascii="华文仿宋" w:hAnsi="华文仿宋" w:eastAsia="华文仿宋" w:cs="华文仿宋"/>
          <w:sz w:val="32"/>
          <w:szCs w:val="32"/>
          <w:highlight w:val="none"/>
          <w:u w:val="none"/>
          <w:lang w:val="en-US" w:eastAsia="zh-CN"/>
        </w:rPr>
        <w:t>二是</w:t>
      </w:r>
      <w:bookmarkStart w:id="1" w:name="OLE_LINK2"/>
      <w:r>
        <w:rPr>
          <w:rFonts w:hint="eastAsia" w:ascii="华文仿宋" w:hAnsi="华文仿宋" w:eastAsia="华文仿宋" w:cs="华文仿宋"/>
          <w:sz w:val="32"/>
          <w:szCs w:val="32"/>
          <w:highlight w:val="none"/>
          <w:u w:val="none"/>
          <w:lang w:val="en-US" w:eastAsia="zh-CN"/>
        </w:rPr>
        <w:t>已公共卫生管理为抓手指导联盟单位做好民生项目的落实和管理工作，带动联盟单位医疗技术水平和工作人员同质化发展。</w:t>
      </w:r>
    </w:p>
    <w:bookmarkEnd w:id="1"/>
    <w:p w14:paraId="53425FE0">
      <w:pPr>
        <w:spacing w:line="560" w:lineRule="exact"/>
        <w:ind w:firstLine="640" w:firstLineChars="200"/>
        <w:rPr>
          <w:rFonts w:hint="eastAsia" w:ascii="华文仿宋" w:hAnsi="华文仿宋" w:eastAsia="华文仿宋" w:cs="华文仿宋"/>
          <w:sz w:val="32"/>
          <w:szCs w:val="32"/>
          <w:highlight w:val="none"/>
          <w:u w:val="none"/>
          <w:lang w:val="en-US" w:eastAsia="zh-CN"/>
        </w:rPr>
      </w:pPr>
      <w:r>
        <w:rPr>
          <w:rFonts w:hint="eastAsia" w:ascii="华文仿宋" w:hAnsi="华文仿宋" w:eastAsia="华文仿宋" w:cs="华文仿宋"/>
          <w:sz w:val="32"/>
          <w:szCs w:val="32"/>
          <w:highlight w:val="none"/>
          <w:u w:val="none"/>
          <w:lang w:val="en-US" w:eastAsia="zh-CN"/>
        </w:rPr>
        <w:t>四、下一步工作计划</w:t>
      </w:r>
    </w:p>
    <w:p w14:paraId="6D9C4556">
      <w:pPr>
        <w:spacing w:line="560" w:lineRule="exact"/>
        <w:ind w:firstLine="640" w:firstLineChars="200"/>
        <w:rPr>
          <w:rFonts w:hint="default" w:ascii="华文仿宋" w:hAnsi="华文仿宋" w:eastAsia="华文仿宋" w:cs="华文仿宋"/>
          <w:sz w:val="32"/>
          <w:szCs w:val="32"/>
          <w:highlight w:val="none"/>
          <w:u w:val="none"/>
          <w:lang w:val="en-US" w:eastAsia="zh-CN"/>
        </w:rPr>
      </w:pPr>
      <w:r>
        <w:rPr>
          <w:rFonts w:hint="default" w:ascii="华文仿宋" w:hAnsi="华文仿宋" w:eastAsia="华文仿宋" w:cs="华文仿宋"/>
          <w:sz w:val="32"/>
          <w:szCs w:val="32"/>
          <w:highlight w:val="none"/>
          <w:u w:val="none"/>
          <w:lang w:val="en-US" w:eastAsia="zh-CN"/>
        </w:rPr>
        <w:t>（</w:t>
      </w:r>
      <w:r>
        <w:rPr>
          <w:rFonts w:hint="eastAsia" w:ascii="华文仿宋" w:hAnsi="华文仿宋" w:eastAsia="华文仿宋" w:cs="华文仿宋"/>
          <w:sz w:val="32"/>
          <w:szCs w:val="32"/>
          <w:highlight w:val="none"/>
          <w:u w:val="none"/>
          <w:lang w:val="en-US" w:eastAsia="zh-CN"/>
        </w:rPr>
        <w:t>一</w:t>
      </w:r>
      <w:r>
        <w:rPr>
          <w:rFonts w:hint="default" w:ascii="华文仿宋" w:hAnsi="华文仿宋" w:eastAsia="华文仿宋" w:cs="华文仿宋"/>
          <w:sz w:val="32"/>
          <w:szCs w:val="32"/>
          <w:highlight w:val="none"/>
          <w:u w:val="none"/>
          <w:lang w:val="en-US" w:eastAsia="zh-CN"/>
        </w:rPr>
        <w:t>）妇幼健康专科联盟工作</w:t>
      </w:r>
      <w:r>
        <w:rPr>
          <w:rFonts w:hint="eastAsia" w:ascii="华文仿宋" w:hAnsi="华文仿宋" w:eastAsia="华文仿宋" w:cs="华文仿宋"/>
          <w:sz w:val="32"/>
          <w:szCs w:val="32"/>
          <w:highlight w:val="none"/>
          <w:u w:val="none"/>
          <w:lang w:val="en-US" w:eastAsia="zh-CN"/>
        </w:rPr>
        <w:t>以</w:t>
      </w:r>
      <w:r>
        <w:rPr>
          <w:rFonts w:hint="default" w:ascii="华文仿宋" w:hAnsi="华文仿宋" w:eastAsia="华文仿宋" w:cs="华文仿宋"/>
          <w:sz w:val="32"/>
          <w:szCs w:val="32"/>
          <w:highlight w:val="none"/>
          <w:u w:val="none"/>
          <w:lang w:val="en-US" w:eastAsia="zh-CN"/>
        </w:rPr>
        <w:t>妇幼保健项目为纽带，</w:t>
      </w:r>
      <w:r>
        <w:rPr>
          <w:rFonts w:hint="eastAsia" w:ascii="华文仿宋" w:hAnsi="华文仿宋" w:eastAsia="华文仿宋" w:cs="华文仿宋"/>
          <w:sz w:val="32"/>
          <w:szCs w:val="32"/>
          <w:highlight w:val="none"/>
          <w:u w:val="none"/>
          <w:lang w:val="en-US" w:eastAsia="zh-CN"/>
        </w:rPr>
        <w:t>继续加强对联盟单位工作人员的培训和以公共卫生管理为抓手指导联盟单位做好公卫项目的落实和管理工作，</w:t>
      </w:r>
      <w:r>
        <w:rPr>
          <w:rFonts w:hint="default" w:ascii="华文仿宋" w:hAnsi="华文仿宋" w:eastAsia="华文仿宋" w:cs="华文仿宋"/>
          <w:sz w:val="32"/>
          <w:szCs w:val="32"/>
          <w:highlight w:val="none"/>
          <w:u w:val="none"/>
          <w:lang w:val="en-US" w:eastAsia="zh-CN"/>
        </w:rPr>
        <w:t>提升专科联盟内的整体服务水平。</w:t>
      </w:r>
    </w:p>
    <w:p w14:paraId="6E314761">
      <w:pPr>
        <w:spacing w:line="560" w:lineRule="exact"/>
        <w:ind w:firstLine="640" w:firstLineChars="200"/>
        <w:rPr>
          <w:rFonts w:hint="default" w:ascii="华文仿宋" w:hAnsi="华文仿宋" w:eastAsia="华文仿宋" w:cs="华文仿宋"/>
          <w:sz w:val="32"/>
          <w:szCs w:val="32"/>
          <w:u w:val="none"/>
          <w:lang w:val="en-US" w:eastAsia="zh-CN"/>
        </w:rPr>
      </w:pPr>
      <w:r>
        <w:rPr>
          <w:rFonts w:hint="default" w:ascii="华文仿宋" w:hAnsi="华文仿宋" w:eastAsia="华文仿宋" w:cs="华文仿宋"/>
          <w:sz w:val="32"/>
          <w:szCs w:val="32"/>
          <w:highlight w:val="none"/>
          <w:u w:val="none"/>
          <w:lang w:val="en-US" w:eastAsia="zh-CN"/>
        </w:rPr>
        <w:t>（</w:t>
      </w:r>
      <w:r>
        <w:rPr>
          <w:rFonts w:hint="eastAsia" w:ascii="华文仿宋" w:hAnsi="华文仿宋" w:eastAsia="华文仿宋" w:cs="华文仿宋"/>
          <w:sz w:val="32"/>
          <w:szCs w:val="32"/>
          <w:highlight w:val="none"/>
          <w:u w:val="none"/>
          <w:lang w:val="en-US" w:eastAsia="zh-CN"/>
        </w:rPr>
        <w:t>二</w:t>
      </w:r>
      <w:r>
        <w:rPr>
          <w:rFonts w:hint="default" w:ascii="华文仿宋" w:hAnsi="华文仿宋" w:eastAsia="华文仿宋" w:cs="华文仿宋"/>
          <w:sz w:val="32"/>
          <w:szCs w:val="32"/>
          <w:highlight w:val="none"/>
          <w:u w:val="none"/>
          <w:lang w:val="en-US" w:eastAsia="zh-CN"/>
        </w:rPr>
        <w:t>）继续加</w:t>
      </w:r>
      <w:r>
        <w:rPr>
          <w:rFonts w:hint="default" w:ascii="华文仿宋" w:hAnsi="华文仿宋" w:eastAsia="华文仿宋" w:cs="华文仿宋"/>
          <w:sz w:val="32"/>
          <w:szCs w:val="32"/>
          <w:u w:val="none"/>
          <w:lang w:val="en-US" w:eastAsia="zh-CN"/>
        </w:rPr>
        <w:t>强对</w:t>
      </w:r>
      <w:r>
        <w:rPr>
          <w:rFonts w:hint="eastAsia" w:ascii="华文仿宋" w:hAnsi="华文仿宋" w:eastAsia="华文仿宋" w:cs="华文仿宋"/>
          <w:sz w:val="32"/>
          <w:szCs w:val="32"/>
          <w:u w:val="none"/>
          <w:lang w:val="en-US" w:eastAsia="zh"/>
        </w:rPr>
        <w:t>孕产妇和</w:t>
      </w:r>
      <w:r>
        <w:rPr>
          <w:rFonts w:hint="default" w:ascii="华文仿宋" w:hAnsi="华文仿宋" w:eastAsia="华文仿宋" w:cs="华文仿宋"/>
          <w:sz w:val="32"/>
          <w:szCs w:val="32"/>
          <w:u w:val="none"/>
          <w:lang w:val="en-US" w:eastAsia="zh-CN"/>
        </w:rPr>
        <w:t>5岁以下儿童死亡的防控工作，加强孕期健康管理和健康教育宣传工作，减少低出生体重和早产儿的出生；持续加强产儿科能力建设，落实儿科医生进产房陪产工作要求，以提升新生儿复苏抢救能力。</w:t>
      </w:r>
    </w:p>
    <w:p w14:paraId="00463516">
      <w:pPr>
        <w:spacing w:line="560" w:lineRule="exact"/>
        <w:ind w:firstLine="640" w:firstLineChars="200"/>
        <w:rPr>
          <w:rFonts w:hint="eastAsia" w:ascii="华文仿宋" w:hAnsi="华文仿宋" w:eastAsia="华文仿宋" w:cs="华文仿宋"/>
          <w:sz w:val="32"/>
          <w:szCs w:val="32"/>
          <w:u w:val="none"/>
        </w:rPr>
      </w:pPr>
      <w:r>
        <w:rPr>
          <w:rFonts w:hint="default" w:ascii="华文仿宋" w:hAnsi="华文仿宋" w:eastAsia="华文仿宋" w:cs="华文仿宋"/>
          <w:sz w:val="32"/>
          <w:szCs w:val="32"/>
          <w:u w:val="none"/>
          <w:lang w:val="en-US" w:eastAsia="zh-CN"/>
        </w:rPr>
        <w:t>（</w:t>
      </w:r>
      <w:r>
        <w:rPr>
          <w:rFonts w:hint="eastAsia" w:ascii="华文仿宋" w:hAnsi="华文仿宋" w:eastAsia="华文仿宋" w:cs="华文仿宋"/>
          <w:sz w:val="32"/>
          <w:szCs w:val="32"/>
          <w:u w:val="none"/>
          <w:lang w:val="en-US" w:eastAsia="zh-CN"/>
        </w:rPr>
        <w:t>三</w:t>
      </w:r>
      <w:r>
        <w:rPr>
          <w:rFonts w:hint="default" w:ascii="华文仿宋" w:hAnsi="华文仿宋" w:eastAsia="华文仿宋" w:cs="华文仿宋"/>
          <w:sz w:val="32"/>
          <w:szCs w:val="32"/>
          <w:u w:val="none"/>
          <w:lang w:val="en-US" w:eastAsia="zh-CN"/>
        </w:rPr>
        <w:t>）充分利用好妇幼公共卫生服务平台</w:t>
      </w:r>
      <w:r>
        <w:rPr>
          <w:rFonts w:hint="eastAsia" w:ascii="华文仿宋" w:hAnsi="华文仿宋" w:eastAsia="华文仿宋" w:cs="华文仿宋"/>
          <w:sz w:val="32"/>
          <w:szCs w:val="32"/>
          <w:u w:val="none"/>
          <w:lang w:val="en-US" w:eastAsia="zh-CN"/>
        </w:rPr>
        <w:t>与联盟单位</w:t>
      </w:r>
      <w:r>
        <w:rPr>
          <w:rFonts w:hint="default" w:ascii="华文仿宋" w:hAnsi="华文仿宋" w:eastAsia="华文仿宋" w:cs="华文仿宋"/>
          <w:sz w:val="32"/>
          <w:szCs w:val="32"/>
          <w:u w:val="none"/>
          <w:lang w:val="en-US" w:eastAsia="zh-CN"/>
        </w:rPr>
        <w:t>开展相关妇女儿童健康问题的科学研究，为政府部门决策和干预提供理论依据。</w:t>
      </w:r>
    </w:p>
    <w:p w14:paraId="5243530A">
      <w:pPr>
        <w:spacing w:line="560" w:lineRule="exact"/>
        <w:outlineLvl w:val="0"/>
        <w:rPr>
          <w:rFonts w:hint="eastAsia" w:ascii="仿宋_GB2312" w:hAnsi="仿宋_GB2312" w:eastAsia="仿宋_GB2312" w:cs="仿宋_GB2312"/>
          <w:bCs/>
          <w:color w:val="000000"/>
          <w:sz w:val="32"/>
          <w:szCs w:val="32"/>
          <w:u w:val="none"/>
        </w:rPr>
      </w:pPr>
    </w:p>
    <w:p w14:paraId="51725E2E">
      <w:pPr>
        <w:spacing w:line="560" w:lineRule="exact"/>
        <w:ind w:firstLine="2080" w:firstLineChars="650"/>
        <w:jc w:val="right"/>
        <w:outlineLvl w:val="0"/>
        <w:rPr>
          <w:rFonts w:hint="eastAsia" w:ascii="仿宋_GB2312" w:hAnsi="仿宋_GB2312" w:eastAsia="仿宋_GB2312" w:cs="仿宋_GB2312"/>
          <w:bCs/>
          <w:color w:val="000000"/>
          <w:sz w:val="32"/>
          <w:szCs w:val="32"/>
          <w:u w:val="none"/>
        </w:rPr>
      </w:pPr>
      <w:r>
        <w:rPr>
          <w:rFonts w:hint="eastAsia" w:ascii="仿宋_GB2312" w:hAnsi="仿宋_GB2312" w:eastAsia="仿宋_GB2312" w:cs="仿宋_GB2312"/>
          <w:bCs/>
          <w:color w:val="000000"/>
          <w:sz w:val="32"/>
          <w:szCs w:val="32"/>
          <w:u w:val="none"/>
        </w:rPr>
        <w:t>三亚市妇幼保健院</w:t>
      </w:r>
    </w:p>
    <w:p w14:paraId="13D27C8D">
      <w:pPr>
        <w:spacing w:line="560" w:lineRule="exact"/>
        <w:ind w:firstLine="4800" w:firstLineChars="1500"/>
        <w:jc w:val="right"/>
        <w:outlineLvl w:val="0"/>
        <w:rPr>
          <w:rFonts w:ascii="仿宋_GB2312" w:hAnsi="仿宋" w:eastAsia="仿宋_GB2312" w:cs="仿宋_GB2312"/>
          <w:sz w:val="32"/>
          <w:szCs w:val="32"/>
          <w:u w:val="none"/>
        </w:rPr>
      </w:pPr>
      <w:r>
        <w:rPr>
          <w:rFonts w:hint="eastAsia" w:ascii="仿宋_GB2312" w:hAnsi="仿宋_GB2312" w:eastAsia="仿宋_GB2312" w:cs="仿宋_GB2312"/>
          <w:bCs/>
          <w:color w:val="000000"/>
          <w:sz w:val="32"/>
          <w:szCs w:val="32"/>
          <w:u w:val="none"/>
        </w:rPr>
        <w:t>202</w:t>
      </w:r>
      <w:r>
        <w:rPr>
          <w:rFonts w:hint="eastAsia" w:ascii="仿宋_GB2312" w:hAnsi="仿宋_GB2312" w:eastAsia="仿宋_GB2312" w:cs="仿宋_GB2312"/>
          <w:bCs/>
          <w:color w:val="000000"/>
          <w:sz w:val="32"/>
          <w:szCs w:val="32"/>
          <w:u w:val="none"/>
          <w:lang w:val="en-US" w:eastAsia="zh-CN"/>
        </w:rPr>
        <w:t>5</w:t>
      </w:r>
      <w:r>
        <w:rPr>
          <w:rFonts w:hint="eastAsia" w:ascii="仿宋_GB2312" w:hAnsi="仿宋_GB2312" w:eastAsia="仿宋_GB2312" w:cs="仿宋_GB2312"/>
          <w:bCs/>
          <w:color w:val="000000"/>
          <w:sz w:val="32"/>
          <w:szCs w:val="32"/>
          <w:u w:val="none"/>
        </w:rPr>
        <w:t>年</w:t>
      </w:r>
      <w:r>
        <w:rPr>
          <w:rFonts w:hint="eastAsia" w:ascii="仿宋_GB2312" w:hAnsi="仿宋_GB2312" w:eastAsia="仿宋_GB2312" w:cs="仿宋_GB2312"/>
          <w:bCs/>
          <w:color w:val="000000"/>
          <w:sz w:val="32"/>
          <w:szCs w:val="32"/>
          <w:u w:val="none"/>
          <w:lang w:val="en-US" w:eastAsia="zh-CN"/>
        </w:rPr>
        <w:t>4</w:t>
      </w:r>
      <w:r>
        <w:rPr>
          <w:rFonts w:hint="eastAsia" w:ascii="仿宋_GB2312" w:hAnsi="仿宋_GB2312" w:eastAsia="仿宋_GB2312" w:cs="仿宋_GB2312"/>
          <w:bCs/>
          <w:color w:val="000000"/>
          <w:sz w:val="32"/>
          <w:szCs w:val="32"/>
          <w:u w:val="none"/>
        </w:rPr>
        <w:t>月</w:t>
      </w:r>
      <w:r>
        <w:rPr>
          <w:rFonts w:hint="eastAsia" w:ascii="仿宋_GB2312" w:hAnsi="仿宋_GB2312" w:eastAsia="仿宋_GB2312" w:cs="仿宋_GB2312"/>
          <w:bCs/>
          <w:color w:val="000000"/>
          <w:sz w:val="32"/>
          <w:szCs w:val="32"/>
          <w:u w:val="none"/>
          <w:lang w:val="en-US" w:eastAsia="zh-CN"/>
        </w:rPr>
        <w:t>18</w:t>
      </w:r>
      <w:r>
        <w:rPr>
          <w:rFonts w:hint="eastAsia" w:ascii="仿宋_GB2312" w:hAnsi="仿宋_GB2312" w:eastAsia="仿宋_GB2312" w:cs="仿宋_GB2312"/>
          <w:bCs/>
          <w:color w:val="000000"/>
          <w:sz w:val="32"/>
          <w:szCs w:val="32"/>
          <w:u w:val="none"/>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6A4B0">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2445D32">
                          <w:pPr>
                            <w:pStyle w:val="4"/>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62445D32">
                    <w:pPr>
                      <w:pStyle w:val="4"/>
                    </w:pPr>
                    <w:r>
                      <w:t xml:space="preserve">第 </w:t>
                    </w:r>
                    <w:r>
                      <w:fldChar w:fldCharType="begin"/>
                    </w:r>
                    <w:r>
                      <w:instrText xml:space="preserve"> PAGE  \* MERGEFORMAT </w:instrText>
                    </w:r>
                    <w:r>
                      <w:fldChar w:fldCharType="separate"/>
                    </w:r>
                    <w:r>
                      <w:t>3</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lMzNmZjg4MTE0MTBkMTc0ZGUzOGRkODFlNzVkNWYifQ=="/>
    <w:docVar w:name="KSO_WPS_MARK_KEY" w:val="9d9b3a28-9445-43b3-92ed-0a055afd6a10"/>
  </w:docVars>
  <w:rsids>
    <w:rsidRoot w:val="00044C31"/>
    <w:rsid w:val="00044C31"/>
    <w:rsid w:val="000B6931"/>
    <w:rsid w:val="0086499B"/>
    <w:rsid w:val="00E8462E"/>
    <w:rsid w:val="02EF6399"/>
    <w:rsid w:val="02F358A5"/>
    <w:rsid w:val="033F6241"/>
    <w:rsid w:val="03A06B3B"/>
    <w:rsid w:val="04624C79"/>
    <w:rsid w:val="05B66B95"/>
    <w:rsid w:val="0EE3014E"/>
    <w:rsid w:val="0FA04A4D"/>
    <w:rsid w:val="141D3DA1"/>
    <w:rsid w:val="181B32DD"/>
    <w:rsid w:val="19F1676E"/>
    <w:rsid w:val="1B1B691B"/>
    <w:rsid w:val="1CAC629E"/>
    <w:rsid w:val="22CB679E"/>
    <w:rsid w:val="23AE0190"/>
    <w:rsid w:val="24030E99"/>
    <w:rsid w:val="27365A2A"/>
    <w:rsid w:val="27644281"/>
    <w:rsid w:val="28DA4193"/>
    <w:rsid w:val="28DD0C08"/>
    <w:rsid w:val="2A212F0D"/>
    <w:rsid w:val="2F12155B"/>
    <w:rsid w:val="30912D7E"/>
    <w:rsid w:val="30E63EB6"/>
    <w:rsid w:val="31AC3D3B"/>
    <w:rsid w:val="320D57E5"/>
    <w:rsid w:val="32904ACB"/>
    <w:rsid w:val="32A9540B"/>
    <w:rsid w:val="33CC574C"/>
    <w:rsid w:val="35EF7B94"/>
    <w:rsid w:val="3B2E21A4"/>
    <w:rsid w:val="3B6522A8"/>
    <w:rsid w:val="3C351074"/>
    <w:rsid w:val="3C6C1636"/>
    <w:rsid w:val="3D8C2FBC"/>
    <w:rsid w:val="3EB77FC0"/>
    <w:rsid w:val="3F3117DC"/>
    <w:rsid w:val="3FBE1DC8"/>
    <w:rsid w:val="401527E8"/>
    <w:rsid w:val="42740F78"/>
    <w:rsid w:val="43844EED"/>
    <w:rsid w:val="44E04AC0"/>
    <w:rsid w:val="45883812"/>
    <w:rsid w:val="45E90DC8"/>
    <w:rsid w:val="47EE5361"/>
    <w:rsid w:val="48A37FDF"/>
    <w:rsid w:val="4A5C58D5"/>
    <w:rsid w:val="4D2B4F47"/>
    <w:rsid w:val="4DE43A5B"/>
    <w:rsid w:val="503B389C"/>
    <w:rsid w:val="51A25120"/>
    <w:rsid w:val="51B3253D"/>
    <w:rsid w:val="52045B3B"/>
    <w:rsid w:val="526060C5"/>
    <w:rsid w:val="5495528E"/>
    <w:rsid w:val="55D03553"/>
    <w:rsid w:val="55DDAEB5"/>
    <w:rsid w:val="59154690"/>
    <w:rsid w:val="59413DA8"/>
    <w:rsid w:val="5EC5693D"/>
    <w:rsid w:val="612C6F7A"/>
    <w:rsid w:val="619E1028"/>
    <w:rsid w:val="63ED279A"/>
    <w:rsid w:val="640D02E6"/>
    <w:rsid w:val="658D20DE"/>
    <w:rsid w:val="692A3CA6"/>
    <w:rsid w:val="69C37363"/>
    <w:rsid w:val="69CF2E28"/>
    <w:rsid w:val="6BD539AF"/>
    <w:rsid w:val="6E395EE0"/>
    <w:rsid w:val="6EB97838"/>
    <w:rsid w:val="70EE2B99"/>
    <w:rsid w:val="71904F57"/>
    <w:rsid w:val="72987E6C"/>
    <w:rsid w:val="729E7A48"/>
    <w:rsid w:val="759125DF"/>
    <w:rsid w:val="76C9109B"/>
    <w:rsid w:val="77495D38"/>
    <w:rsid w:val="78155A4D"/>
    <w:rsid w:val="7A3B7CAD"/>
    <w:rsid w:val="7A552C46"/>
    <w:rsid w:val="7A7106EC"/>
    <w:rsid w:val="7AF413F4"/>
    <w:rsid w:val="7C2A25DC"/>
    <w:rsid w:val="7CC242D2"/>
    <w:rsid w:val="7E9A21A0"/>
    <w:rsid w:val="7F9E5CFC"/>
    <w:rsid w:val="A3EF7C24"/>
    <w:rsid w:val="CBFF771A"/>
    <w:rsid w:val="FF3FBA4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